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4BA3" w14:textId="77777777" w:rsidR="004E2BDC" w:rsidRDefault="004E2BDC" w:rsidP="004E2BD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3B5575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14:paraId="261588AE" w14:textId="77777777" w:rsidR="004E2BDC" w:rsidRPr="00A85A8C" w:rsidRDefault="004E2BDC" w:rsidP="004E2BD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329343C" w14:textId="77777777" w:rsidR="004E2BDC" w:rsidRPr="00A85A8C" w:rsidRDefault="004E2BDC" w:rsidP="004E2BD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EC59E09" w14:textId="77777777" w:rsidR="004E2BDC" w:rsidRPr="003B5575" w:rsidRDefault="004E2BDC" w:rsidP="004E2B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Панасюк Р. В.  Публічне у</w:t>
      </w:r>
      <w:r w:rsidRPr="003B5575">
        <w:rPr>
          <w:rFonts w:ascii="Times New Roman" w:hAnsi="Times New Roman"/>
          <w:b/>
          <w:sz w:val="28"/>
          <w:szCs w:val="28"/>
          <w:lang w:val="uk-UA"/>
        </w:rPr>
        <w:t xml:space="preserve">правління використанням спільних ресурсів територіальних громад України. – </w:t>
      </w:r>
      <w:r w:rsidRPr="003B5575">
        <w:rPr>
          <w:rFonts w:ascii="Times New Roman" w:hAnsi="Times New Roman"/>
          <w:sz w:val="28"/>
          <w:szCs w:val="28"/>
          <w:lang w:val="uk-UA"/>
        </w:rPr>
        <w:t>Кваліфікаційна наукова праця на правах рукопису.</w:t>
      </w:r>
    </w:p>
    <w:p w14:paraId="7E4CC0F8" w14:textId="77777777" w:rsidR="004E2BDC" w:rsidRPr="00FC234F" w:rsidRDefault="004E2BDC" w:rsidP="004E2BD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C234F">
        <w:rPr>
          <w:rFonts w:ascii="Times New Roman" w:hAnsi="Times New Roman"/>
          <w:i/>
          <w:sz w:val="28"/>
          <w:szCs w:val="28"/>
          <w:lang w:val="uk-UA"/>
        </w:rPr>
        <w:t xml:space="preserve">Дисертація на здобуття наукового ступеня </w:t>
      </w:r>
      <w:r w:rsidRPr="00F75972">
        <w:rPr>
          <w:rFonts w:ascii="Times New Roman" w:hAnsi="Times New Roman"/>
          <w:bCs/>
          <w:i/>
          <w:sz w:val="28"/>
          <w:szCs w:val="28"/>
          <w:lang w:val="uk-UA"/>
        </w:rPr>
        <w:t>доктора філософії</w:t>
      </w:r>
      <w:r w:rsidRPr="00F75972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Pr="00764E09">
        <w:rPr>
          <w:rFonts w:ascii="Times New Roman" w:hAnsi="Times New Roman"/>
          <w:i/>
          <w:sz w:val="28"/>
          <w:szCs w:val="28"/>
          <w:lang w:val="uk-UA"/>
        </w:rPr>
        <w:t>281 – Публічне управління та адміністрування)</w:t>
      </w:r>
      <w:r w:rsidRPr="00FC234F">
        <w:rPr>
          <w:rFonts w:ascii="Times New Roman" w:hAnsi="Times New Roman"/>
          <w:i/>
          <w:sz w:val="28"/>
          <w:szCs w:val="28"/>
          <w:lang w:val="uk-UA"/>
        </w:rPr>
        <w:t>. – Івано-Франківський національний техн</w:t>
      </w:r>
      <w:r>
        <w:rPr>
          <w:rFonts w:ascii="Times New Roman" w:hAnsi="Times New Roman"/>
          <w:i/>
          <w:sz w:val="28"/>
          <w:szCs w:val="28"/>
          <w:lang w:val="uk-UA"/>
        </w:rPr>
        <w:t>ічний університет нафти і газу, Івано-Франківськ, 2020</w:t>
      </w:r>
      <w:r w:rsidRPr="00FC234F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6193D41E" w14:textId="77777777" w:rsidR="004E2BDC" w:rsidRPr="003B5575" w:rsidRDefault="004E2BDC" w:rsidP="004E2B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575">
        <w:rPr>
          <w:rFonts w:ascii="Times New Roman" w:hAnsi="Times New Roman"/>
          <w:sz w:val="28"/>
          <w:szCs w:val="28"/>
          <w:lang w:val="uk-UA"/>
        </w:rPr>
        <w:t>Дисертація присвячена теоретико-методологічному обґрунтуванню необхідності, доцільності і шляхів удосконалення механізму та інструментів управління змінами в діяльності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3B5575">
        <w:rPr>
          <w:rFonts w:ascii="Times New Roman" w:hAnsi="Times New Roman"/>
          <w:sz w:val="28"/>
          <w:szCs w:val="28"/>
          <w:lang w:val="uk-UA"/>
        </w:rPr>
        <w:t>єднаних територіальних громад з результативної і ефективної трансформації спільних ресурсів в економічний добробут і сталий розвиток.</w:t>
      </w:r>
    </w:p>
    <w:p w14:paraId="7F3D5DA2" w14:textId="3A4EE6D4" w:rsidR="004E2BDC" w:rsidRPr="00BB602D" w:rsidRDefault="004E2BDC" w:rsidP="004E2BD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602D">
        <w:rPr>
          <w:rFonts w:ascii="Times New Roman" w:hAnsi="Times New Roman"/>
          <w:sz w:val="28"/>
          <w:szCs w:val="28"/>
          <w:lang w:val="uk-UA"/>
        </w:rPr>
        <w:t xml:space="preserve">     Продемонстровано, що децентралізації влади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602D">
        <w:rPr>
          <w:rFonts w:ascii="Times New Roman" w:hAnsi="Times New Roman"/>
          <w:sz w:val="28"/>
          <w:szCs w:val="28"/>
          <w:lang w:val="uk-UA"/>
        </w:rPr>
        <w:t>і реформування адміністративно-територіального устрою шляхом утворення об’єднаних територіальних громад (ОТГ) – нового елемента ієрархічної структури публічного управління і адміністрування держави Україна – є дуже позитивним кроком з осучаснення системи публічного управління і адміністрування. Однак, джерелом виникнення проблемних ситуацій, труднощів і, навіть, спротиву реформі на різних рівнях системи управління децентралізацією є людські ресурси і їх неоднозначне сприйняття цілей і завдань реформування.</w:t>
      </w:r>
    </w:p>
    <w:p w14:paraId="703E0EC7" w14:textId="3550D3AF" w:rsidR="004E2BDC" w:rsidRPr="003B5575" w:rsidRDefault="004E2BDC" w:rsidP="004E2B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575">
        <w:rPr>
          <w:rFonts w:ascii="Times New Roman" w:hAnsi="Times New Roman"/>
          <w:sz w:val="28"/>
          <w:szCs w:val="28"/>
          <w:lang w:val="uk-UA"/>
        </w:rPr>
        <w:t>За результатами аналізу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/>
        </w:rPr>
        <w:t>світового досвіду децентралізації влади і проблем формування оновленої системи місцевого самоврядування в Україні встановлено, що ключовою проблемою є належне використання інтелектуального потенціалу людських ресурсів ОТТГ з отриманням синергічного ефекту від поєднання і гармонізації наступної тріади інтересів:</w:t>
      </w:r>
    </w:p>
    <w:p w14:paraId="17C9DD1C" w14:textId="78D5BA09" w:rsidR="004E2BDC" w:rsidRPr="006D0CDC" w:rsidRDefault="004E2BDC" w:rsidP="004E2BD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0CDC">
        <w:rPr>
          <w:rFonts w:ascii="Times New Roman" w:hAnsi="Times New Roman"/>
          <w:sz w:val="28"/>
          <w:szCs w:val="28"/>
          <w:lang w:val="uk-UA"/>
        </w:rPr>
        <w:t>людини – члена об’єднаної територіальної громади, її неподільного складового елемента, інтереси якої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0CDC">
        <w:rPr>
          <w:rFonts w:ascii="Times New Roman" w:hAnsi="Times New Roman"/>
          <w:sz w:val="28"/>
          <w:szCs w:val="28"/>
          <w:lang w:val="uk-UA"/>
        </w:rPr>
        <w:t>виникають у процесі реалізації практично всіх її життєвих прагнень;</w:t>
      </w:r>
    </w:p>
    <w:p w14:paraId="3634358B" w14:textId="7FFA1AB8" w:rsidR="004E2BDC" w:rsidRPr="006D0CDC" w:rsidRDefault="004E2BDC" w:rsidP="004E2BD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0CDC">
        <w:rPr>
          <w:rFonts w:ascii="Times New Roman" w:hAnsi="Times New Roman"/>
          <w:sz w:val="28"/>
          <w:szCs w:val="28"/>
          <w:lang w:val="uk-UA"/>
        </w:rPr>
        <w:lastRenderedPageBreak/>
        <w:t>територіальної спільноти людей – ОТГ, інтереси якої є сукупністю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0CDC">
        <w:rPr>
          <w:rFonts w:ascii="Times New Roman" w:hAnsi="Times New Roman"/>
          <w:sz w:val="28"/>
          <w:szCs w:val="28"/>
          <w:lang w:val="uk-UA"/>
        </w:rPr>
        <w:t xml:space="preserve">спільних інтересів її індивідів-членів у задоволенні соціальних, економічних і екологічних потреб за рахунок використання наявних в її розпорядженні природних ресурсів; </w:t>
      </w:r>
    </w:p>
    <w:p w14:paraId="0BF6DC15" w14:textId="77777777" w:rsidR="004E2BDC" w:rsidRPr="006D0CDC" w:rsidRDefault="004E2BDC" w:rsidP="004E2BD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0CDC">
        <w:rPr>
          <w:rFonts w:ascii="Times New Roman" w:hAnsi="Times New Roman"/>
          <w:sz w:val="28"/>
          <w:szCs w:val="28"/>
          <w:lang w:val="uk-UA"/>
        </w:rPr>
        <w:t>державної спільноти людей – держави, громадянами якої з використанням правових засобів впорядковується самоврядна активність сукупностей людей і кожної людини в територіальних громадах.</w:t>
      </w:r>
    </w:p>
    <w:p w14:paraId="1865C927" w14:textId="10737332" w:rsidR="004E2BDC" w:rsidRPr="00B0686F" w:rsidRDefault="004E2BDC" w:rsidP="004E2BDC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3B5575">
        <w:rPr>
          <w:rFonts w:ascii="Times New Roman" w:hAnsi="Times New Roman"/>
          <w:sz w:val="28"/>
          <w:szCs w:val="28"/>
          <w:lang w:val="uk-UA"/>
        </w:rPr>
        <w:t xml:space="preserve">Запропонована </w:t>
      </w:r>
      <w:r w:rsidRPr="003B55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схема </w:t>
      </w:r>
      <w:r w:rsidRPr="003B5575">
        <w:rPr>
          <w:rFonts w:ascii="Times New Roman" w:hAnsi="Times New Roman"/>
          <w:sz w:val="28"/>
          <w:szCs w:val="28"/>
          <w:lang w:val="uk-UA"/>
        </w:rPr>
        <w:t>організації ефективного і результативного використання ОТГ її спільних природних ресурсів шляхом пріоритетного забезпечення органом місцевого самоврядування належного використання інтелектуальних ресурсів її населення. Для цього необхідно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/>
        </w:rPr>
        <w:t xml:space="preserve">обрати для управління її життєдіяльністю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B5575">
        <w:rPr>
          <w:rFonts w:ascii="Times New Roman" w:hAnsi="Times New Roman"/>
          <w:sz w:val="28"/>
          <w:szCs w:val="28"/>
          <w:lang w:val="uk-UA"/>
        </w:rPr>
        <w:t>розумних людей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B5575">
        <w:rPr>
          <w:rFonts w:ascii="Times New Roman" w:hAnsi="Times New Roman"/>
          <w:sz w:val="28"/>
          <w:szCs w:val="28"/>
          <w:lang w:val="uk-UA"/>
        </w:rPr>
        <w:t>, які через належну організацію процесу інтелектокористування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/>
        </w:rPr>
        <w:t>повинні забезпечити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B5575">
        <w:rPr>
          <w:rFonts w:ascii="Times New Roman" w:hAnsi="Times New Roman"/>
          <w:sz w:val="28"/>
          <w:szCs w:val="28"/>
          <w:lang w:val="uk-UA"/>
        </w:rPr>
        <w:t>розумну освіту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B557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0686F">
        <w:rPr>
          <w:rFonts w:ascii="Times New Roman" w:hAnsi="Times New Roman"/>
          <w:sz w:val="28"/>
          <w:szCs w:val="28"/>
          <w:lang w:val="uk-UA"/>
        </w:rPr>
        <w:t xml:space="preserve">«розумну </w:t>
      </w:r>
      <w:r w:rsidRPr="00B0686F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  <w:t>місцеву економіку», «розумну організацію життєвого простору», «розумне використання ресурсів та охорону довкілля» – основи досягнення</w:t>
      </w:r>
      <w:r w:rsidR="00B0686F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Pr="00B0686F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  <w:t>громадою соціального, економічного і екологічного рівня добробуту та конкурентоздатності в ринковому оточенні.</w:t>
      </w:r>
    </w:p>
    <w:p w14:paraId="13E2A780" w14:textId="1D1BF3F8" w:rsidR="004E2BDC" w:rsidRPr="003B5575" w:rsidRDefault="004E2BDC" w:rsidP="004E2BDC">
      <w:pPr>
        <w:pStyle w:val="Standard"/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5575">
        <w:rPr>
          <w:rFonts w:cs="Times New Roman"/>
          <w:sz w:val="28"/>
          <w:szCs w:val="28"/>
          <w:lang w:val="uk-UA"/>
        </w:rPr>
        <w:t>Доведено, що відомі принципи Е. Остром з ефективного використання спільних ресурсів громад, доцільно доповнити правилами спільного використання інтелектуальних ресурсів їх населення, які, дозволяють і зобов</w:t>
      </w:r>
      <w:r>
        <w:rPr>
          <w:rFonts w:cs="Times New Roman"/>
          <w:sz w:val="28"/>
          <w:szCs w:val="28"/>
          <w:lang w:val="uk-UA"/>
        </w:rPr>
        <w:t>’</w:t>
      </w:r>
      <w:r w:rsidRPr="003B5575">
        <w:rPr>
          <w:rFonts w:cs="Times New Roman"/>
          <w:sz w:val="28"/>
          <w:szCs w:val="28"/>
          <w:lang w:val="uk-UA"/>
        </w:rPr>
        <w:t>язують органи управління їх діяльністю залучати до процесів і процедур прийняття рішень щодо використання спільних ресурсів інтелектуальні ресурси населення. Рекомендовано використати для цього вітчизняний досвід і технології управління процесами інтелектокористування</w:t>
      </w:r>
      <w:r w:rsidR="00B0686F">
        <w:rPr>
          <w:rFonts w:cs="Times New Roman"/>
          <w:sz w:val="28"/>
          <w:szCs w:val="28"/>
          <w:lang w:val="uk-UA"/>
        </w:rPr>
        <w:t xml:space="preserve"> </w:t>
      </w:r>
      <w:r w:rsidRPr="003B5575">
        <w:rPr>
          <w:rFonts w:cs="Times New Roman"/>
          <w:sz w:val="28"/>
          <w:szCs w:val="28"/>
          <w:lang w:val="uk-UA"/>
        </w:rPr>
        <w:t xml:space="preserve">з </w:t>
      </w:r>
      <w:r w:rsidRPr="003B5575">
        <w:rPr>
          <w:rFonts w:cs="Times New Roman"/>
          <w:sz w:val="28"/>
          <w:szCs w:val="28"/>
          <w:shd w:val="clear" w:color="auto" w:fill="FFFFFF"/>
          <w:lang w:val="uk-UA"/>
        </w:rPr>
        <w:t>інтеграції</w:t>
      </w:r>
      <w:r w:rsidR="00B0686F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5575">
        <w:rPr>
          <w:rFonts w:cs="Times New Roman"/>
          <w:sz w:val="28"/>
          <w:szCs w:val="28"/>
          <w:shd w:val="clear" w:color="auto" w:fill="FFFFFF"/>
          <w:lang w:val="uk-UA"/>
        </w:rPr>
        <w:t>і мотивації інтелекту населення громади для генерування і використання необхідних для розвитку ідей, пропозицій та  ініціатив.</w:t>
      </w:r>
    </w:p>
    <w:p w14:paraId="7940942A" w14:textId="15FC813A" w:rsidR="004E2BDC" w:rsidRPr="003B5575" w:rsidRDefault="004E2BDC" w:rsidP="004E2BDC">
      <w:pPr>
        <w:pStyle w:val="Standard"/>
        <w:spacing w:after="0"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5575">
        <w:rPr>
          <w:rFonts w:cs="Times New Roman"/>
          <w:sz w:val="28"/>
          <w:szCs w:val="28"/>
          <w:lang w:val="uk-UA"/>
        </w:rPr>
        <w:t xml:space="preserve">Обґрунтовано </w:t>
      </w:r>
      <w:r w:rsidRPr="003B5575">
        <w:rPr>
          <w:sz w:val="28"/>
          <w:szCs w:val="28"/>
          <w:shd w:val="clear" w:color="auto" w:fill="FFFFFF"/>
          <w:lang w:val="uk-UA"/>
        </w:rPr>
        <w:t xml:space="preserve">структурно-функціональну схему системи управління ресурсною моделлю взаємодії елементарних складових ОТГ, на основі якоїпродемонстровано, що </w:t>
      </w:r>
      <w:r w:rsidRPr="003B5575">
        <w:rPr>
          <w:sz w:val="28"/>
          <w:szCs w:val="28"/>
          <w:lang w:val="uk-UA"/>
        </w:rPr>
        <w:t xml:space="preserve">на посади керівників і функціонерів ОТГ слід обирати і призначати людей, інтелектуальні і моральні характеристики яких гарантуватимуть їх соціальну орієнтованість на засади спільного вироблення, </w:t>
      </w:r>
      <w:r w:rsidRPr="003B5575">
        <w:rPr>
          <w:sz w:val="28"/>
          <w:szCs w:val="28"/>
          <w:lang w:val="uk-UA"/>
        </w:rPr>
        <w:lastRenderedPageBreak/>
        <w:t>прийняття і реалізації рішень щодо результативного і ефективного використання спільних ресурсів громади;</w:t>
      </w:r>
      <w:r w:rsidR="00B0686F">
        <w:rPr>
          <w:sz w:val="28"/>
          <w:szCs w:val="28"/>
          <w:lang w:val="uk-UA"/>
        </w:rPr>
        <w:t xml:space="preserve"> </w:t>
      </w:r>
      <w:r w:rsidRPr="003B5575">
        <w:rPr>
          <w:sz w:val="28"/>
          <w:szCs w:val="28"/>
          <w:lang w:val="uk-UA"/>
        </w:rPr>
        <w:t>отримані формалізовані умови спільного пошуку людськими ресурсам рішень, які гарантуватимуть</w:t>
      </w:r>
      <w:r w:rsidR="00B0686F">
        <w:rPr>
          <w:sz w:val="28"/>
          <w:szCs w:val="28"/>
          <w:lang w:val="uk-UA"/>
        </w:rPr>
        <w:t xml:space="preserve"> </w:t>
      </w:r>
      <w:r w:rsidRPr="003B5575">
        <w:rPr>
          <w:sz w:val="28"/>
          <w:szCs w:val="28"/>
          <w:lang w:val="uk-UA"/>
        </w:rPr>
        <w:t>наявність необхідних видів комунікацій між елементарними носіями інтелекту в системі і виключитимуть</w:t>
      </w:r>
      <w:r w:rsidR="00B0686F">
        <w:rPr>
          <w:sz w:val="28"/>
          <w:szCs w:val="28"/>
          <w:lang w:val="uk-UA"/>
        </w:rPr>
        <w:t xml:space="preserve"> </w:t>
      </w:r>
      <w:r w:rsidRPr="003B5575">
        <w:rPr>
          <w:sz w:val="28"/>
          <w:szCs w:val="28"/>
          <w:lang w:val="uk-UA"/>
        </w:rPr>
        <w:t>виникнення режиму некерованості при виникненні неформальних комунікацій;</w:t>
      </w:r>
      <w:r w:rsidR="00B0686F">
        <w:rPr>
          <w:sz w:val="28"/>
          <w:szCs w:val="28"/>
          <w:lang w:val="uk-UA"/>
        </w:rPr>
        <w:t xml:space="preserve"> </w:t>
      </w:r>
      <w:r w:rsidRPr="003B5575">
        <w:rPr>
          <w:sz w:val="28"/>
          <w:szCs w:val="28"/>
          <w:lang w:val="uk-UA"/>
        </w:rPr>
        <w:t xml:space="preserve">встановлено, що критично важливою проблемою залишається впровадження у практику діяльності органів управління ОТГТ соціокультурної, екзистенційної і мисленнєвої комунікацій між людськими ресурсами, коли </w:t>
      </w:r>
      <w:r>
        <w:rPr>
          <w:sz w:val="28"/>
          <w:szCs w:val="28"/>
          <w:lang w:val="uk-UA"/>
        </w:rPr>
        <w:t>«</w:t>
      </w:r>
      <w:r w:rsidRPr="003B5575">
        <w:rPr>
          <w:sz w:val="28"/>
          <w:szCs w:val="28"/>
          <w:lang w:val="uk-UA"/>
        </w:rPr>
        <w:t>соціальний інтелект</w:t>
      </w:r>
      <w:r>
        <w:rPr>
          <w:sz w:val="28"/>
          <w:szCs w:val="28"/>
          <w:lang w:val="uk-UA"/>
        </w:rPr>
        <w:t>»</w:t>
      </w:r>
      <w:r w:rsidRPr="003B5575">
        <w:rPr>
          <w:sz w:val="28"/>
          <w:szCs w:val="28"/>
          <w:lang w:val="uk-UA"/>
        </w:rPr>
        <w:t xml:space="preserve"> стає найбільш дієвим механізмом забезпечення ефективного використання її спільних ресурсів.</w:t>
      </w:r>
    </w:p>
    <w:p w14:paraId="3D811814" w14:textId="77777777" w:rsidR="004E2BDC" w:rsidRPr="003B5575" w:rsidRDefault="004E2BDC" w:rsidP="004E2BDC">
      <w:pPr>
        <w:pStyle w:val="Standard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B5575">
        <w:rPr>
          <w:sz w:val="28"/>
          <w:szCs w:val="28"/>
          <w:lang w:val="uk-UA"/>
        </w:rPr>
        <w:t>Удосконалено графо-аналітичну модель управління поведінкою людських ресурсів в змінах для використання в процесах і процедурах децентралізації влади, реформування адміністративного устрою, створення об</w:t>
      </w:r>
      <w:r>
        <w:rPr>
          <w:sz w:val="28"/>
          <w:szCs w:val="28"/>
          <w:lang w:val="uk-UA"/>
        </w:rPr>
        <w:t>’</w:t>
      </w:r>
      <w:r w:rsidRPr="003B5575">
        <w:rPr>
          <w:sz w:val="28"/>
          <w:szCs w:val="28"/>
          <w:lang w:val="uk-UA"/>
        </w:rPr>
        <w:t>єднаних територіальних громад та управління їх подальшим сталим розвитком з обов</w:t>
      </w:r>
      <w:r>
        <w:rPr>
          <w:sz w:val="28"/>
          <w:szCs w:val="28"/>
          <w:lang w:val="uk-UA"/>
        </w:rPr>
        <w:t>’</w:t>
      </w:r>
      <w:r w:rsidRPr="003B5575">
        <w:rPr>
          <w:sz w:val="28"/>
          <w:szCs w:val="28"/>
          <w:lang w:val="uk-UA"/>
        </w:rPr>
        <w:t>язковим залученням всіх активних і здатних громадян до збору, вивчення, аналізу, узагальнення і ефективного використання інформації про стан, цілі та інтереси розвитку громади.</w:t>
      </w:r>
    </w:p>
    <w:p w14:paraId="1C8584D2" w14:textId="12F64FA3" w:rsidR="004E2BDC" w:rsidRPr="003B5575" w:rsidRDefault="004E2BDC" w:rsidP="004E2BDC">
      <w:pPr>
        <w:pStyle w:val="Standard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B5575">
        <w:rPr>
          <w:sz w:val="28"/>
          <w:szCs w:val="28"/>
          <w:lang w:val="uk-UA"/>
        </w:rPr>
        <w:t>Встановлено, що головною умовою успішного використання модифікованої моделі і технології управління змінами в ОТГ виступає оволодіння кадровим наповненням її органу управління, керівниками ключових груп, суб</w:t>
      </w:r>
      <w:r>
        <w:rPr>
          <w:sz w:val="28"/>
          <w:szCs w:val="28"/>
          <w:lang w:val="uk-UA"/>
        </w:rPr>
        <w:t>’</w:t>
      </w:r>
      <w:r w:rsidRPr="003B5575">
        <w:rPr>
          <w:sz w:val="28"/>
          <w:szCs w:val="28"/>
          <w:lang w:val="uk-UA"/>
        </w:rPr>
        <w:t>єктами колективної та індивідуальної діяльності необхідними знаннями і досвідом інтелектокористування, запропоновано удосконалену модель лідерства для</w:t>
      </w:r>
      <w:r w:rsidR="00B0686F">
        <w:rPr>
          <w:sz w:val="28"/>
          <w:szCs w:val="28"/>
          <w:lang w:val="uk-UA"/>
        </w:rPr>
        <w:t xml:space="preserve"> </w:t>
      </w:r>
      <w:r w:rsidRPr="003B5575">
        <w:rPr>
          <w:sz w:val="28"/>
          <w:szCs w:val="28"/>
          <w:lang w:val="uk-UA"/>
        </w:rPr>
        <w:t>навчання, відбору і неперервного розвитку функціонально-психологічних характеристик керівників і функціонерів органу управління, керівників і функціонерів суб</w:t>
      </w:r>
      <w:r>
        <w:rPr>
          <w:sz w:val="28"/>
          <w:szCs w:val="28"/>
          <w:lang w:val="uk-UA"/>
        </w:rPr>
        <w:t>’</w:t>
      </w:r>
      <w:r w:rsidRPr="003B5575">
        <w:rPr>
          <w:sz w:val="28"/>
          <w:szCs w:val="28"/>
          <w:lang w:val="uk-UA"/>
        </w:rPr>
        <w:t>єктів всіх видів активності в рамках об</w:t>
      </w:r>
      <w:r>
        <w:rPr>
          <w:sz w:val="28"/>
          <w:szCs w:val="28"/>
          <w:lang w:val="uk-UA"/>
        </w:rPr>
        <w:t>’</w:t>
      </w:r>
      <w:r w:rsidRPr="003B5575">
        <w:rPr>
          <w:sz w:val="28"/>
          <w:szCs w:val="28"/>
          <w:lang w:val="uk-UA"/>
        </w:rPr>
        <w:t>єднаної територіальної громади як соціально-економічно-екологічної системи.</w:t>
      </w:r>
    </w:p>
    <w:p w14:paraId="49451FB1" w14:textId="07BA9607" w:rsidR="004E2BDC" w:rsidRPr="003B5575" w:rsidRDefault="004E2BDC" w:rsidP="004E2B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575">
        <w:rPr>
          <w:rFonts w:ascii="Times New Roman" w:hAnsi="Times New Roman"/>
          <w:sz w:val="28"/>
          <w:szCs w:val="28"/>
          <w:lang w:val="uk-UA"/>
        </w:rPr>
        <w:t>Виявлено, що у вітчизняній практиці децентралізації влади присутній ефект минулого досвіду</w:t>
      </w:r>
      <w:r>
        <w:rPr>
          <w:rFonts w:ascii="Times New Roman" w:hAnsi="Times New Roman"/>
          <w:sz w:val="28"/>
          <w:szCs w:val="28"/>
          <w:lang w:val="uk-UA"/>
        </w:rPr>
        <w:t xml:space="preserve"> («</w:t>
      </w:r>
      <w:r w:rsidRPr="003B5575">
        <w:rPr>
          <w:rFonts w:ascii="Times New Roman" w:hAnsi="Times New Roman"/>
          <w:sz w:val="28"/>
          <w:szCs w:val="28"/>
          <w:lang w:val="uk-UA"/>
        </w:rPr>
        <w:t>path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/>
        </w:rPr>
        <w:t>dependence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/>
        </w:rPr>
        <w:t>problem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B5575">
        <w:rPr>
          <w:rFonts w:ascii="Times New Roman" w:hAnsi="Times New Roman"/>
          <w:sz w:val="28"/>
          <w:szCs w:val="28"/>
          <w:lang w:val="uk-UA"/>
        </w:rPr>
        <w:t xml:space="preserve">), що </w:t>
      </w:r>
      <w:r w:rsidRPr="003B5575">
        <w:rPr>
          <w:rFonts w:ascii="Times New Roman" w:hAnsi="Times New Roman"/>
          <w:sz w:val="28"/>
          <w:szCs w:val="28"/>
          <w:lang w:val="uk-UA" w:eastAsia="ru-RU"/>
        </w:rPr>
        <w:t>негативно впливає на зміни, гальмує формування нових життєвих цінностей і моделей поведінки, в зв</w:t>
      </w:r>
      <w:r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3B5575">
        <w:rPr>
          <w:rFonts w:ascii="Times New Roman" w:hAnsi="Times New Roman"/>
          <w:sz w:val="28"/>
          <w:szCs w:val="28"/>
          <w:lang w:val="uk-UA" w:eastAsia="ru-RU"/>
        </w:rPr>
        <w:t xml:space="preserve">язку з чим запропоновано використати для змін ментальності людських </w:t>
      </w:r>
      <w:r w:rsidRPr="003B5575">
        <w:rPr>
          <w:rFonts w:ascii="Times New Roman" w:hAnsi="Times New Roman"/>
          <w:sz w:val="28"/>
          <w:szCs w:val="28"/>
          <w:lang w:val="uk-UA" w:eastAsia="ru-RU"/>
        </w:rPr>
        <w:lastRenderedPageBreak/>
        <w:t>ресурсів громад</w:t>
      </w:r>
      <w:r w:rsidR="00B068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 w:eastAsia="ru-RU"/>
        </w:rPr>
        <w:t>новий тип ромбовидної  інституціональної домінантно-комплементарної мікс-матриці, яка поєднує</w:t>
      </w:r>
      <w:r w:rsidR="00B068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 w:eastAsia="ru-RU"/>
        </w:rPr>
        <w:t>ідеологеми редистрибутивно-ринкової економіки і</w:t>
      </w:r>
      <w:r w:rsidR="00B068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 w:eastAsia="ru-RU"/>
        </w:rPr>
        <w:t>комунітарно-індивідуалістську ідеологію на засадах демократично-партисипативного управління, а також доведено необхідність формування на цій основі нових життєвих цінностей і ментальності людських ресурсів ОТГ засобами освіт</w:t>
      </w: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3B5575">
        <w:rPr>
          <w:rFonts w:ascii="Times New Roman" w:hAnsi="Times New Roman"/>
          <w:sz w:val="28"/>
          <w:szCs w:val="28"/>
          <w:lang w:val="uk-UA" w:eastAsia="ru-RU"/>
        </w:rPr>
        <w:t xml:space="preserve">іх і навчально-консультаційних впливів. </w:t>
      </w:r>
    </w:p>
    <w:p w14:paraId="7BDD9400" w14:textId="37E0BF6F" w:rsidR="004E2BDC" w:rsidRPr="003B5575" w:rsidRDefault="004E2BDC" w:rsidP="004E2B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575">
        <w:rPr>
          <w:rFonts w:ascii="Times New Roman" w:hAnsi="Times New Roman"/>
          <w:sz w:val="28"/>
          <w:szCs w:val="28"/>
          <w:lang w:val="uk-UA"/>
        </w:rPr>
        <w:t xml:space="preserve">Продемонстровано, що включення в програми </w:t>
      </w:r>
      <w:r w:rsidRPr="003B5575">
        <w:rPr>
          <w:rFonts w:ascii="Times New Roman" w:hAnsi="Times New Roman"/>
          <w:sz w:val="28"/>
          <w:szCs w:val="28"/>
          <w:lang w:val="uk-UA" w:eastAsia="ru-RU"/>
        </w:rPr>
        <w:t>підготовки, навчання і розвитку персоналу органів управління і населення новостворюваних</w:t>
      </w:r>
      <w:r w:rsidR="00B068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 w:eastAsia="ru-RU"/>
        </w:rPr>
        <w:t>ОТГ тем з модернізації і модифікації їх знань, досвіду та ментальності за</w:t>
      </w:r>
      <w:r w:rsidR="00B068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 w:eastAsia="ru-RU"/>
        </w:rPr>
        <w:t xml:space="preserve">ідеологемами мікс-матриці, а також </w:t>
      </w:r>
      <w:r w:rsidRPr="003B5575">
        <w:rPr>
          <w:rFonts w:ascii="Times New Roman" w:hAnsi="Times New Roman"/>
          <w:sz w:val="28"/>
          <w:szCs w:val="28"/>
          <w:lang w:val="uk-UA"/>
        </w:rPr>
        <w:t>розділів з управління процесами інтелектокористування як пріоритетного напрямку результативного і ефективного використання спільних ресурсів громади на модифікованих принципах Е. Остром, обумовило необхідні зміни в ментальності і поведінці людських ресурсів ОТГ.</w:t>
      </w:r>
    </w:p>
    <w:p w14:paraId="7E83C7DF" w14:textId="1A1E7284" w:rsidR="004E2BDC" w:rsidRPr="003B5575" w:rsidRDefault="004E2BDC" w:rsidP="004E2B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575">
        <w:rPr>
          <w:rFonts w:ascii="Times New Roman" w:hAnsi="Times New Roman"/>
          <w:sz w:val="28"/>
          <w:szCs w:val="28"/>
          <w:lang w:val="uk-UA"/>
        </w:rPr>
        <w:t>Проведено порівняльний аналіз та оцінку результатів діяльності новоутворених ОТГ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/>
        </w:rPr>
        <w:t>і продемонстровано, що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/>
        </w:rPr>
        <w:t>проведені навчання, тренінги, семінари, консультації з рекомендаціями щодо організації інтелектокористування, використання ресурсної, поведінкової і лідерської моделей</w:t>
      </w:r>
      <w:r>
        <w:rPr>
          <w:rFonts w:ascii="Times New Roman" w:hAnsi="Times New Roman"/>
          <w:sz w:val="28"/>
          <w:szCs w:val="28"/>
          <w:lang w:val="uk-UA"/>
        </w:rPr>
        <w:t xml:space="preserve"> та рекомендацій з їх практичног</w:t>
      </w:r>
      <w:r w:rsidRPr="003B5575">
        <w:rPr>
          <w:rFonts w:ascii="Times New Roman" w:hAnsi="Times New Roman"/>
          <w:sz w:val="28"/>
          <w:szCs w:val="28"/>
          <w:lang w:val="uk-UA"/>
        </w:rPr>
        <w:t>о використання, змінили знання і ментальність керівництва, фахівців та населення. Це, в свою чергу, призвело в діяльності ОТГ до позитивних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/>
        </w:rPr>
        <w:t>зрушень економічного, соціального і екологічного характеру, що підтверджує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/>
        </w:rPr>
        <w:t>гіпотетичні припущення про дієвість і ефективність запропонованих в дослідженні моделей,</w:t>
      </w:r>
      <w:r w:rsidR="00B0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575">
        <w:rPr>
          <w:rFonts w:ascii="Times New Roman" w:hAnsi="Times New Roman"/>
          <w:sz w:val="28"/>
          <w:szCs w:val="28"/>
          <w:lang w:val="uk-UA"/>
        </w:rPr>
        <w:t>технологій та інструментів інтелектуалізованого управління.</w:t>
      </w:r>
    </w:p>
    <w:p w14:paraId="2097AA3A" w14:textId="77777777" w:rsidR="004E2BDC" w:rsidRPr="003B5575" w:rsidRDefault="004E2BDC" w:rsidP="004E2B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575">
        <w:rPr>
          <w:rFonts w:ascii="Times New Roman" w:hAnsi="Times New Roman"/>
          <w:b/>
          <w:sz w:val="28"/>
          <w:szCs w:val="28"/>
          <w:lang w:val="uk-UA"/>
        </w:rPr>
        <w:t xml:space="preserve">Ключові слова: </w:t>
      </w:r>
      <w:r w:rsidRPr="003B5575">
        <w:rPr>
          <w:rFonts w:ascii="Times New Roman" w:hAnsi="Times New Roman"/>
          <w:sz w:val="28"/>
          <w:szCs w:val="28"/>
          <w:lang w:val="uk-UA"/>
        </w:rPr>
        <w:t>механізм, управління, громада, територія, ресурси, структура, функції, модель, поведінка, лідерство, зміна, розвиток, добробут.</w:t>
      </w:r>
    </w:p>
    <w:p w14:paraId="756A426B" w14:textId="77777777" w:rsidR="004E2BDC" w:rsidRPr="003B5575" w:rsidRDefault="004E2BDC" w:rsidP="004E2B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82EA6D" w14:textId="77777777" w:rsidR="004E2BDC" w:rsidRDefault="004E2BDC" w:rsidP="004E2BDC">
      <w:pPr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highlight w:val="yellow"/>
          <w:lang w:val="ru-RU"/>
        </w:rPr>
        <w:br w:type="page"/>
      </w:r>
    </w:p>
    <w:sectPr w:rsidR="004E2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MV Bol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473"/>
    <w:multiLevelType w:val="hybridMultilevel"/>
    <w:tmpl w:val="AA24CA8C"/>
    <w:lvl w:ilvl="0" w:tplc="D57EF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24577"/>
    <w:multiLevelType w:val="hybridMultilevel"/>
    <w:tmpl w:val="62ACEC12"/>
    <w:lvl w:ilvl="0" w:tplc="D57EF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DC"/>
    <w:rsid w:val="004E2BDC"/>
    <w:rsid w:val="00991A2C"/>
    <w:rsid w:val="009A0629"/>
    <w:rsid w:val="00B0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6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DC"/>
    <w:pPr>
      <w:ind w:left="720"/>
      <w:contextualSpacing/>
    </w:pPr>
  </w:style>
  <w:style w:type="paragraph" w:customStyle="1" w:styleId="Standard">
    <w:name w:val="Standard"/>
    <w:rsid w:val="004E2BDC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4E2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DC"/>
    <w:pPr>
      <w:ind w:left="720"/>
      <w:contextualSpacing/>
    </w:pPr>
  </w:style>
  <w:style w:type="paragraph" w:customStyle="1" w:styleId="Standard">
    <w:name w:val="Standard"/>
    <w:rsid w:val="004E2BDC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4E2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4841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Petrenko</dc:creator>
  <cp:lastModifiedBy>Admin</cp:lastModifiedBy>
  <cp:revision>2</cp:revision>
  <dcterms:created xsi:type="dcterms:W3CDTF">2021-05-19T09:47:00Z</dcterms:created>
  <dcterms:modified xsi:type="dcterms:W3CDTF">2021-05-19T09:47:00Z</dcterms:modified>
</cp:coreProperties>
</file>